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Утверждено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 xml:space="preserve"> Общим собранием 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НП «ИСЗС-Монтаж»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По представлению Правления</w:t>
      </w:r>
    </w:p>
    <w:p w:rsidR="000F68DF" w:rsidRPr="005F3FD5" w:rsidRDefault="005465EC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НП «ИСЗС-Монтаж»</w:t>
      </w:r>
    </w:p>
    <w:p w:rsidR="000F68DF" w:rsidRPr="005F3FD5" w:rsidRDefault="00B12201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Протокол № 14 от </w:t>
      </w:r>
      <w:r w:rsidR="00FB4670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2 августа 2011 г.</w:t>
      </w:r>
      <w:r w:rsidR="000F68DF" w:rsidRPr="005F3FD5">
        <w:rPr>
          <w:b/>
          <w:sz w:val="26"/>
          <w:szCs w:val="26"/>
        </w:rPr>
        <w:t xml:space="preserve"> </w:t>
      </w:r>
    </w:p>
    <w:p w:rsidR="000F68DF" w:rsidRPr="005F3FD5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2932BB" w:rsidRDefault="002932BB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</w:t>
      </w:r>
      <w:r w:rsidRPr="00615883">
        <w:rPr>
          <w:b/>
          <w:sz w:val="26"/>
          <w:szCs w:val="26"/>
        </w:rPr>
        <w:t>ребования</w:t>
      </w: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</w:p>
    <w:p w:rsidR="00B234D5" w:rsidRDefault="00B234D5" w:rsidP="00B234D5">
      <w:pPr>
        <w:widowControl w:val="0"/>
        <w:tabs>
          <w:tab w:val="num" w:pos="156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 (кроме объектов использования атомной энергии)</w:t>
      </w: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162388" w:rsidRDefault="00162388" w:rsidP="000F68DF">
      <w:pPr>
        <w:jc w:val="center"/>
        <w:rPr>
          <w:b/>
          <w:sz w:val="26"/>
          <w:szCs w:val="26"/>
        </w:rPr>
      </w:pPr>
    </w:p>
    <w:p w:rsidR="008A05A2" w:rsidRDefault="008A05A2" w:rsidP="000F68DF">
      <w:pPr>
        <w:jc w:val="center"/>
        <w:rPr>
          <w:b/>
          <w:sz w:val="26"/>
          <w:szCs w:val="26"/>
        </w:rPr>
      </w:pPr>
    </w:p>
    <w:p w:rsidR="00B7711B" w:rsidRDefault="00B7711B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591B85">
      <w:pPr>
        <w:spacing w:after="240"/>
        <w:jc w:val="center"/>
        <w:rPr>
          <w:b/>
          <w:sz w:val="26"/>
          <w:szCs w:val="26"/>
        </w:rPr>
      </w:pPr>
    </w:p>
    <w:p w:rsidR="00591B85" w:rsidRPr="00E0793C" w:rsidRDefault="00232644" w:rsidP="00B02B24">
      <w:pPr>
        <w:pStyle w:val="ad"/>
        <w:jc w:val="center"/>
        <w:rPr>
          <w:b/>
          <w:sz w:val="26"/>
          <w:szCs w:val="26"/>
        </w:rPr>
      </w:pPr>
      <w:r w:rsidRPr="00F07BB4">
        <w:rPr>
          <w:b/>
          <w:bCs/>
          <w:sz w:val="26"/>
          <w:szCs w:val="26"/>
        </w:rPr>
        <w:t>ГРУППА ВИДОВ РАБОТ</w:t>
      </w:r>
      <w:r w:rsidR="00591B85" w:rsidRPr="00F07BB4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№</w:t>
      </w:r>
      <w:r w:rsidR="00255C82">
        <w:rPr>
          <w:b/>
          <w:bCs/>
          <w:sz w:val="26"/>
          <w:szCs w:val="26"/>
        </w:rPr>
        <w:t>24</w:t>
      </w:r>
      <w:r w:rsidR="009A12BF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«</w:t>
      </w:r>
      <w:r w:rsidR="00255C82" w:rsidRPr="006108ED">
        <w:rPr>
          <w:b/>
          <w:sz w:val="26"/>
          <w:szCs w:val="26"/>
        </w:rPr>
        <w:t>Пусконаладочные работы</w:t>
      </w:r>
      <w:r w:rsidRPr="00F07BB4">
        <w:rPr>
          <w:b/>
          <w:bCs/>
          <w:sz w:val="26"/>
          <w:szCs w:val="26"/>
        </w:rPr>
        <w:t>»</w:t>
      </w:r>
      <w:bookmarkStart w:id="0" w:name="_GoBack"/>
      <w:bookmarkEnd w:id="0"/>
    </w:p>
    <w:p w:rsidR="00232644" w:rsidRPr="00F07BB4" w:rsidRDefault="00232644" w:rsidP="00B02B24">
      <w:pPr>
        <w:pStyle w:val="ad"/>
        <w:jc w:val="center"/>
        <w:rPr>
          <w:b/>
          <w:sz w:val="26"/>
          <w:szCs w:val="26"/>
        </w:rPr>
      </w:pPr>
      <w:r w:rsidRPr="00F07BB4">
        <w:rPr>
          <w:b/>
          <w:sz w:val="26"/>
          <w:szCs w:val="26"/>
        </w:rPr>
        <w:t xml:space="preserve">Вид работ </w:t>
      </w:r>
      <w:r w:rsidR="00255C82">
        <w:rPr>
          <w:b/>
          <w:sz w:val="26"/>
          <w:szCs w:val="26"/>
        </w:rPr>
        <w:t>24</w:t>
      </w:r>
      <w:r w:rsidR="00F77CA3" w:rsidRPr="00F07BB4">
        <w:rPr>
          <w:b/>
          <w:sz w:val="26"/>
          <w:szCs w:val="26"/>
        </w:rPr>
        <w:t>.</w:t>
      </w:r>
      <w:r w:rsidR="008B1488">
        <w:rPr>
          <w:b/>
          <w:sz w:val="26"/>
          <w:szCs w:val="26"/>
        </w:rPr>
        <w:t>1</w:t>
      </w:r>
      <w:r w:rsidR="00F9112E">
        <w:rPr>
          <w:b/>
          <w:sz w:val="26"/>
          <w:szCs w:val="26"/>
        </w:rPr>
        <w:t>9</w:t>
      </w:r>
      <w:r w:rsidRPr="00F07BB4">
        <w:rPr>
          <w:b/>
          <w:sz w:val="26"/>
          <w:szCs w:val="26"/>
        </w:rPr>
        <w:t>.</w:t>
      </w:r>
      <w:r w:rsidR="008018F6">
        <w:rPr>
          <w:b/>
          <w:sz w:val="26"/>
          <w:szCs w:val="26"/>
        </w:rPr>
        <w:t xml:space="preserve"> </w:t>
      </w:r>
      <w:r w:rsidR="00420C1D" w:rsidRPr="00F07BB4">
        <w:rPr>
          <w:b/>
          <w:sz w:val="26"/>
          <w:szCs w:val="26"/>
        </w:rPr>
        <w:t>«</w:t>
      </w:r>
      <w:r w:rsidR="00F9112E" w:rsidRPr="006108ED">
        <w:rPr>
          <w:b/>
          <w:sz w:val="26"/>
          <w:szCs w:val="26"/>
        </w:rPr>
        <w:t>Пусконаладочные работы компрессорных установок</w:t>
      </w:r>
      <w:r w:rsidR="00420C1D" w:rsidRPr="00F07BB4">
        <w:rPr>
          <w:b/>
          <w:sz w:val="26"/>
          <w:szCs w:val="26"/>
        </w:rPr>
        <w:t>»</w:t>
      </w:r>
      <w:r w:rsidRPr="00F07BB4">
        <w:rPr>
          <w:b/>
          <w:sz w:val="26"/>
          <w:szCs w:val="26"/>
        </w:rPr>
        <w:t>.</w:t>
      </w:r>
    </w:p>
    <w:p w:rsidR="000402C4" w:rsidRDefault="000402C4" w:rsidP="00B02B24">
      <w:pPr>
        <w:spacing w:after="240"/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B234D5" w:rsidRDefault="00B234D5" w:rsidP="00B234D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г. Москва, 2011 год</w:t>
      </w:r>
    </w:p>
    <w:p w:rsidR="00E05C76" w:rsidRDefault="00E05C76" w:rsidP="000F68DF">
      <w:pPr>
        <w:jc w:val="center"/>
        <w:rPr>
          <w:b/>
          <w:sz w:val="26"/>
          <w:szCs w:val="26"/>
        </w:rPr>
      </w:pPr>
    </w:p>
    <w:p w:rsidR="00B12201" w:rsidRDefault="00B12201" w:rsidP="00B12201">
      <w:pPr>
        <w:pStyle w:val="2"/>
        <w:pageBreakBefore/>
        <w:spacing w:before="0" w:after="0"/>
        <w:jc w:val="center"/>
        <w:rPr>
          <w:rFonts w:ascii="Times New Roman" w:hAnsi="Times New Roman"/>
          <w:i w:val="0"/>
          <w:sz w:val="26"/>
          <w:szCs w:val="26"/>
        </w:rPr>
      </w:pPr>
      <w:bookmarkStart w:id="1" w:name="_Toc266878114"/>
      <w:bookmarkStart w:id="2" w:name="_Toc264286743"/>
      <w:r>
        <w:rPr>
          <w:rFonts w:ascii="Times New Roman" w:hAnsi="Times New Roman"/>
          <w:i w:val="0"/>
          <w:sz w:val="26"/>
          <w:szCs w:val="26"/>
        </w:rPr>
        <w:lastRenderedPageBreak/>
        <w:t>1. СФЕРА ПРИМЕНЕНИЯ</w:t>
      </w:r>
      <w:bookmarkEnd w:id="1"/>
      <w:bookmarkEnd w:id="2"/>
    </w:p>
    <w:p w:rsidR="00B12201" w:rsidRDefault="00B12201" w:rsidP="00B12201">
      <w:pPr>
        <w:autoSpaceDE w:val="0"/>
        <w:autoSpaceDN w:val="0"/>
        <w:adjustRightInd w:val="0"/>
        <w:ind w:left="426"/>
        <w:jc w:val="both"/>
        <w:rPr>
          <w:sz w:val="26"/>
          <w:szCs w:val="26"/>
        </w:rPr>
      </w:pPr>
    </w:p>
    <w:p w:rsidR="00B12201" w:rsidRDefault="00B12201" w:rsidP="00B12201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1.1. Настоящие Требования разработаны в соответствии с Градостроительным кодексом Российской Федерации, Постановлением Правительства Российской Федерации от 24 марта 2011 г. №207 «</w:t>
      </w:r>
      <w:r>
        <w:rPr>
          <w:rFonts w:eastAsia="Calibri"/>
          <w:sz w:val="26"/>
          <w:szCs w:val="26"/>
          <w:lang w:eastAsia="en-US"/>
        </w:rPr>
        <w:t>О минимально необходимых требованиях к выдаче саморегулируемыми организациями свидетельств о допуске к работам на особо опасных и технически сложных объектах капитального строительства, оказывающим влияние на безопасность указанных объектов</w:t>
      </w:r>
      <w:r>
        <w:rPr>
          <w:sz w:val="26"/>
          <w:szCs w:val="26"/>
        </w:rPr>
        <w:t>»</w:t>
      </w:r>
      <w:r>
        <w:rPr>
          <w:rFonts w:eastAsia="Calibri"/>
          <w:sz w:val="26"/>
          <w:szCs w:val="26"/>
          <w:lang w:eastAsia="en-US"/>
        </w:rPr>
        <w:t>, а также рекомендациями Национального объединения строителей.</w:t>
      </w:r>
    </w:p>
    <w:p w:rsidR="00B12201" w:rsidRDefault="00B12201" w:rsidP="00B12201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1.2 Настоящие требования распространяются на членов НП «ИСЗС-Монаж» и применяются на территории Российской Федерации.</w:t>
      </w:r>
    </w:p>
    <w:p w:rsidR="00B12201" w:rsidRDefault="00B12201" w:rsidP="00B12201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1.3. Настоящие требования обязательны для Правления НП «ИСЗС-Монтаж», Контрольной комиссии НП «ИСЗС-Монтаж» и иных специализированных органов Партнерства при осуществлении контрольных мероприятий.</w:t>
      </w:r>
    </w:p>
    <w:p w:rsidR="00B12201" w:rsidRDefault="00B12201" w:rsidP="00B12201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1.4. Настоящие требования вступают в силу через 10 дней с момента их утверждения на Общем собрании членов НП «ИСЗС-Монтаж».</w:t>
      </w:r>
    </w:p>
    <w:p w:rsidR="00B12201" w:rsidRDefault="00B12201" w:rsidP="00B12201">
      <w:pPr>
        <w:pStyle w:val="1"/>
        <w:numPr>
          <w:ilvl w:val="0"/>
          <w:numId w:val="4"/>
        </w:numPr>
        <w:jc w:val="center"/>
        <w:rPr>
          <w:rFonts w:ascii="Times New Roman" w:hAnsi="Times New Roman"/>
          <w:sz w:val="26"/>
          <w:szCs w:val="26"/>
        </w:rPr>
      </w:pPr>
      <w:bookmarkStart w:id="3" w:name="_Toc266878115"/>
      <w:r>
        <w:rPr>
          <w:rFonts w:ascii="Times New Roman" w:hAnsi="Times New Roman"/>
          <w:sz w:val="26"/>
          <w:szCs w:val="26"/>
        </w:rPr>
        <w:t>ТРЕБОВАНИЯ 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</w:t>
      </w:r>
      <w:bookmarkEnd w:id="3"/>
      <w:r>
        <w:rPr>
          <w:rFonts w:ascii="Times New Roman" w:hAnsi="Times New Roman"/>
          <w:sz w:val="26"/>
          <w:szCs w:val="26"/>
        </w:rPr>
        <w:t xml:space="preserve"> (КРОМЕ ОБЪЕКТОВ ИСПОЛЬЗОВАНИЯ АТОМНОЙ ЭНЕРГИИ).</w:t>
      </w:r>
    </w:p>
    <w:p w:rsidR="00B12201" w:rsidRDefault="00B12201" w:rsidP="00B12201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2.1. Минимально необходимыми требованиями к кадровому составу заявителя на получение свидетельства о допуске к работам по строительству, реконструкции и капитальному ремонту объектов капитального строительства, которые оказывают влияние на безопасность особо опасных и технически сложных объектов (кроме объектов использования атомной энергии):</w:t>
      </w:r>
    </w:p>
    <w:p w:rsidR="00B12201" w:rsidRDefault="00B12201" w:rsidP="00B12201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а) для юридического лица:</w:t>
      </w:r>
    </w:p>
    <w:p w:rsidR="00B12201" w:rsidRDefault="00B12201" w:rsidP="00B12201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2 работников, занимающих должности руководителей (генеральный директор (директор), технический директор (главный инженер), их заместители) (далее - руководители),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B12201" w:rsidRDefault="00B12201" w:rsidP="00B12201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3 работников - специалистов технических, энергомеханических, контрольных и других технических служб и подразделений (далее - специалисты),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2 работников, имеющих высшее профессиональное образование;</w:t>
      </w:r>
    </w:p>
    <w:p w:rsidR="00B12201" w:rsidRDefault="00B12201" w:rsidP="00B12201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2 работников, занимающих должности руководителей производственных структурных подразделений (начальники участков, прорабы, мастера) (далее - руководители подразделений),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1 работника, имеющего высшее профессиональное образование;</w:t>
      </w:r>
    </w:p>
    <w:p w:rsidR="00B12201" w:rsidRDefault="00B12201" w:rsidP="00B12201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б) для индивидуального предпринимателя:</w:t>
      </w:r>
    </w:p>
    <w:p w:rsidR="00B12201" w:rsidRDefault="00B12201" w:rsidP="00B12201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высшего профессионального образования соответствующего профиля и стажа работы в области строительства не менее 5 лет;</w:t>
      </w:r>
    </w:p>
    <w:p w:rsidR="00B12201" w:rsidRDefault="00B12201" w:rsidP="00B12201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- наличие в штате не менее 3 специалистов,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2 работников, имеющих высшее профессиональное образование, а также не менее 2 руководителей подразделений,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1 работника, имеющего высшее профессиональное образование;</w:t>
      </w:r>
    </w:p>
    <w:p w:rsidR="00B12201" w:rsidRDefault="00B12201" w:rsidP="00B12201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в) наличие работников, прошедших аттестацию по правилам, установленным Федеральной службой по экологическому, технологическому и атомному надзору, по каждой из должностей, в отношении выполняемых работ по которым осуществляется надзор этой Службой и замещение которых допускается только работниками, прошедшими аттестацию,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 – при наличии в штатном расписании заявителя указанных должностей, в частности:</w:t>
      </w:r>
    </w:p>
    <w:p w:rsidR="00B12201" w:rsidRDefault="00B12201" w:rsidP="00B12201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руководители и его заместители;</w:t>
      </w:r>
    </w:p>
    <w:p w:rsidR="00B12201" w:rsidRDefault="00B12201" w:rsidP="00B12201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главный инженер и его заместители;</w:t>
      </w:r>
    </w:p>
    <w:p w:rsidR="00B12201" w:rsidRDefault="00B12201" w:rsidP="00B12201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руководители подразделений, отвечающих за промышленную безопасность и их заместители;</w:t>
      </w:r>
    </w:p>
    <w:p w:rsidR="00B12201" w:rsidRDefault="00B12201" w:rsidP="00B12201">
      <w:pPr>
        <w:ind w:left="1276" w:hanging="1276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     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B12201" w:rsidRDefault="00B12201" w:rsidP="00B12201">
      <w:pPr>
        <w:autoSpaceDE w:val="0"/>
        <w:autoSpaceDN w:val="0"/>
        <w:adjustRightInd w:val="0"/>
        <w:ind w:firstLine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2.2. Требованиями к повышению квалификации и аттестации являются:</w:t>
      </w:r>
    </w:p>
    <w:p w:rsidR="00B12201" w:rsidRDefault="00B12201" w:rsidP="00B12201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а) повышение квалификации в области строительства руководителями, специалистами и руководителями структурных подразделений не реже 1 раза в 5 лет с проведением аттестации;</w:t>
      </w:r>
    </w:p>
    <w:p w:rsidR="00B12201" w:rsidRDefault="00B12201" w:rsidP="00B12201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б) наличие системы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- в случаях, когда в штатное расписание заявителя включены должности, в отношении выполняемых работ по которым осуществляется надзор указанной Службой и замещение которых допускается только работниками, прошедшими такую аттестацию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 – при наличии в штатном расписании заявителя указанных должностей, частности:</w:t>
      </w:r>
    </w:p>
    <w:p w:rsidR="00B12201" w:rsidRDefault="00B12201" w:rsidP="00B12201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руководители и его заместители;</w:t>
      </w:r>
    </w:p>
    <w:p w:rsidR="00B12201" w:rsidRDefault="00B12201" w:rsidP="00B12201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главный инженер и его заместители;</w:t>
      </w:r>
    </w:p>
    <w:p w:rsidR="00B12201" w:rsidRDefault="00B12201" w:rsidP="00B12201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руководители подразделений, отвечающих за промышленную безопасность и их заместители;</w:t>
      </w:r>
    </w:p>
    <w:p w:rsidR="00B12201" w:rsidRDefault="00B12201" w:rsidP="00B12201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B12201" w:rsidRDefault="00B12201" w:rsidP="00B12201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Под системой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следует понимать совокупность взаимосвязанных организационно-</w:t>
      </w:r>
      <w:r>
        <w:rPr>
          <w:sz w:val="26"/>
          <w:szCs w:val="26"/>
        </w:rPr>
        <w:lastRenderedPageBreak/>
        <w:t>технических и административных мер, принимаемых членом СРО в целях своевременного и надлежащего прохождения вышеуказанными сотрудниками члена СРО процедуры аттестации.</w:t>
      </w:r>
    </w:p>
    <w:p w:rsidR="00B12201" w:rsidRDefault="00B12201" w:rsidP="00B12201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Наличие системы аттестации по правилам, устанавливаемым Федеральной службой по экологическому, технологическому и атомному надзору, подтверждается следующим:</w:t>
      </w:r>
    </w:p>
    <w:p w:rsidR="00B12201" w:rsidRDefault="00B12201" w:rsidP="00B12201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лица, ответственного за своевременное и надлежащее прохождение сотрудниками члена СРО процедуры аттестации (приказ о назначении ответственного);</w:t>
      </w:r>
    </w:p>
    <w:p w:rsidR="00B12201" w:rsidRDefault="00B12201" w:rsidP="00B12201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утвержденного графика прохождения повышения квалификации и аттестации по правилам, устанавливаемым Федеральной службой по экологическому, технологическому и атомному надзору (график, утвержденный приказом);</w:t>
      </w:r>
    </w:p>
    <w:p w:rsidR="00B12201" w:rsidRDefault="00B12201" w:rsidP="00B12201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утвержденной системы (перечня) необходимых мероприятий по контролю за своевременное и надлежащее прохождение сотрудниками члена СРО процедуры аттестации (приказ об утверждении перечня мероприятий);</w:t>
      </w:r>
    </w:p>
    <w:p w:rsidR="00B12201" w:rsidRDefault="00B12201" w:rsidP="00B12201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работников члена СРО, непосредственно осуществляющих работы, влияющие на промышленную, экологическую, энергетическую безопасность, а также на безопасность гидротехнических сооружений соответствующих действующих аттестатов.</w:t>
      </w:r>
    </w:p>
    <w:p w:rsidR="00B12201" w:rsidRDefault="00B12201" w:rsidP="00B12201">
      <w:pPr>
        <w:ind w:left="360" w:firstLine="180"/>
        <w:jc w:val="both"/>
        <w:rPr>
          <w:sz w:val="26"/>
          <w:szCs w:val="26"/>
        </w:rPr>
      </w:pPr>
    </w:p>
    <w:p w:rsidR="00B12201" w:rsidRDefault="00B12201" w:rsidP="00B12201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2.3. Требованием к имуществу является наличие у заявителя принадлежащих ему на праве собственности или ином законном основании зданий и сооружений, строительных машин и механизмов, транспортных средств, средств технологического оснащения, передвижных энергетических установок, средств обеспечения промышленной безопасности, средств контроля и измерений в составе и количестве, которые необходимы для выполнения соответствующих видов работ.</w:t>
      </w:r>
    </w:p>
    <w:p w:rsidR="00B12201" w:rsidRDefault="00B12201" w:rsidP="00B12201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2.4. Минимально необходимым требованием к документам является наличие у заявителя соответствующих лицензий и иных разрешительных документов, если это предусмотрено законодательством Российской Федерации.</w:t>
      </w:r>
    </w:p>
    <w:p w:rsidR="00B12201" w:rsidRDefault="00B12201" w:rsidP="00B12201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2.5. Требованием к контролю качества является наличие у заявителя системы контроля качества.</w:t>
      </w:r>
    </w:p>
    <w:p w:rsidR="00B12201" w:rsidRDefault="00B12201" w:rsidP="00B12201">
      <w:pPr>
        <w:autoSpaceDE w:val="0"/>
        <w:autoSpaceDN w:val="0"/>
        <w:adjustRightInd w:val="0"/>
        <w:ind w:left="426" w:firstLine="114"/>
        <w:jc w:val="both"/>
        <w:outlineLvl w:val="0"/>
        <w:rPr>
          <w:rFonts w:eastAsia="Calibri"/>
          <w:sz w:val="26"/>
          <w:szCs w:val="26"/>
        </w:rPr>
      </w:pPr>
    </w:p>
    <w:sectPr w:rsidR="00B12201" w:rsidSect="005F3FD5">
      <w:footerReference w:type="default" r:id="rId8"/>
      <w:pgSz w:w="11906" w:h="16838" w:code="9"/>
      <w:pgMar w:top="851" w:right="851" w:bottom="851" w:left="851" w:header="709" w:footer="1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09B3" w:rsidRDefault="001009B3" w:rsidP="000F68DF">
      <w:r>
        <w:separator/>
      </w:r>
    </w:p>
  </w:endnote>
  <w:endnote w:type="continuationSeparator" w:id="1">
    <w:p w:rsidR="001009B3" w:rsidRDefault="001009B3" w:rsidP="000F6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D5" w:rsidRDefault="00EE661F">
    <w:pPr>
      <w:pStyle w:val="ab"/>
      <w:jc w:val="center"/>
    </w:pPr>
    <w:fldSimple w:instr=" PAGE   \* MERGEFORMAT ">
      <w:r w:rsidR="005465EC">
        <w:rPr>
          <w:noProof/>
        </w:rPr>
        <w:t>1</w:t>
      </w:r>
    </w:fldSimple>
  </w:p>
  <w:p w:rsidR="005F3FD5" w:rsidRDefault="005F3FD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09B3" w:rsidRDefault="001009B3" w:rsidP="000F68DF">
      <w:r>
        <w:separator/>
      </w:r>
    </w:p>
  </w:footnote>
  <w:footnote w:type="continuationSeparator" w:id="1">
    <w:p w:rsidR="001009B3" w:rsidRDefault="001009B3" w:rsidP="000F68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6DB4"/>
    <w:multiLevelType w:val="multilevel"/>
    <w:tmpl w:val="44AE38E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45" w:hanging="124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1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5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">
    <w:nsid w:val="0C7B6F75"/>
    <w:multiLevelType w:val="hybridMultilevel"/>
    <w:tmpl w:val="7A00B990"/>
    <w:lvl w:ilvl="0" w:tplc="770A31C4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0F987CC5"/>
    <w:multiLevelType w:val="multilevel"/>
    <w:tmpl w:val="E166C518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68DF"/>
    <w:rsid w:val="00013164"/>
    <w:rsid w:val="00023A2C"/>
    <w:rsid w:val="000320B9"/>
    <w:rsid w:val="00032B46"/>
    <w:rsid w:val="00032CDB"/>
    <w:rsid w:val="00036C9C"/>
    <w:rsid w:val="000402C4"/>
    <w:rsid w:val="0005484F"/>
    <w:rsid w:val="00064454"/>
    <w:rsid w:val="000803CF"/>
    <w:rsid w:val="0008176C"/>
    <w:rsid w:val="00090BF1"/>
    <w:rsid w:val="000C4E2F"/>
    <w:rsid w:val="000E56A7"/>
    <w:rsid w:val="000E77E3"/>
    <w:rsid w:val="000E7F32"/>
    <w:rsid w:val="000F281F"/>
    <w:rsid w:val="000F682F"/>
    <w:rsid w:val="000F68DF"/>
    <w:rsid w:val="001009B3"/>
    <w:rsid w:val="00101C31"/>
    <w:rsid w:val="0010623B"/>
    <w:rsid w:val="0011478C"/>
    <w:rsid w:val="00126194"/>
    <w:rsid w:val="00127E3C"/>
    <w:rsid w:val="00130C31"/>
    <w:rsid w:val="0014075C"/>
    <w:rsid w:val="00145825"/>
    <w:rsid w:val="001559A7"/>
    <w:rsid w:val="00162388"/>
    <w:rsid w:val="001741E1"/>
    <w:rsid w:val="00193AA6"/>
    <w:rsid w:val="00196BFA"/>
    <w:rsid w:val="001A5EE3"/>
    <w:rsid w:val="001B3293"/>
    <w:rsid w:val="001B3C59"/>
    <w:rsid w:val="001D4435"/>
    <w:rsid w:val="001E132A"/>
    <w:rsid w:val="001E1CFF"/>
    <w:rsid w:val="001E357E"/>
    <w:rsid w:val="001F01F1"/>
    <w:rsid w:val="00207A38"/>
    <w:rsid w:val="002136F1"/>
    <w:rsid w:val="0021637C"/>
    <w:rsid w:val="0022605E"/>
    <w:rsid w:val="002264AB"/>
    <w:rsid w:val="00232644"/>
    <w:rsid w:val="00237A22"/>
    <w:rsid w:val="0024234A"/>
    <w:rsid w:val="0024298D"/>
    <w:rsid w:val="00245153"/>
    <w:rsid w:val="00250905"/>
    <w:rsid w:val="00255C82"/>
    <w:rsid w:val="00276ED4"/>
    <w:rsid w:val="002916B6"/>
    <w:rsid w:val="002916D9"/>
    <w:rsid w:val="002932BB"/>
    <w:rsid w:val="00297F2E"/>
    <w:rsid w:val="002A178F"/>
    <w:rsid w:val="002A4F25"/>
    <w:rsid w:val="002C2993"/>
    <w:rsid w:val="002C7C67"/>
    <w:rsid w:val="002E67E5"/>
    <w:rsid w:val="002F0241"/>
    <w:rsid w:val="002F0CBD"/>
    <w:rsid w:val="003015B0"/>
    <w:rsid w:val="003201BD"/>
    <w:rsid w:val="00326B14"/>
    <w:rsid w:val="00334503"/>
    <w:rsid w:val="0035437D"/>
    <w:rsid w:val="00361F64"/>
    <w:rsid w:val="00377458"/>
    <w:rsid w:val="00381804"/>
    <w:rsid w:val="003824D5"/>
    <w:rsid w:val="00391FEE"/>
    <w:rsid w:val="003A5EF9"/>
    <w:rsid w:val="003B48BF"/>
    <w:rsid w:val="003B7C0C"/>
    <w:rsid w:val="003C0020"/>
    <w:rsid w:val="003E7A41"/>
    <w:rsid w:val="003F1E0D"/>
    <w:rsid w:val="004003DD"/>
    <w:rsid w:val="00413040"/>
    <w:rsid w:val="00416BB6"/>
    <w:rsid w:val="00420C1D"/>
    <w:rsid w:val="004404A8"/>
    <w:rsid w:val="004742E7"/>
    <w:rsid w:val="00480AC9"/>
    <w:rsid w:val="00485828"/>
    <w:rsid w:val="004943BE"/>
    <w:rsid w:val="004A52F6"/>
    <w:rsid w:val="004A5B48"/>
    <w:rsid w:val="004C38B3"/>
    <w:rsid w:val="004D04D5"/>
    <w:rsid w:val="004D621F"/>
    <w:rsid w:val="004D7716"/>
    <w:rsid w:val="004E717E"/>
    <w:rsid w:val="004F1E0B"/>
    <w:rsid w:val="004F56A6"/>
    <w:rsid w:val="004F5AF7"/>
    <w:rsid w:val="00513D70"/>
    <w:rsid w:val="005243C1"/>
    <w:rsid w:val="005465EC"/>
    <w:rsid w:val="005907D3"/>
    <w:rsid w:val="0059144D"/>
    <w:rsid w:val="00591B85"/>
    <w:rsid w:val="0059300A"/>
    <w:rsid w:val="005A7C9A"/>
    <w:rsid w:val="005C6AC4"/>
    <w:rsid w:val="005D3C1C"/>
    <w:rsid w:val="005D6325"/>
    <w:rsid w:val="005F117C"/>
    <w:rsid w:val="005F1838"/>
    <w:rsid w:val="005F3FD5"/>
    <w:rsid w:val="00610532"/>
    <w:rsid w:val="006135AC"/>
    <w:rsid w:val="0062043D"/>
    <w:rsid w:val="00623EF0"/>
    <w:rsid w:val="006338A4"/>
    <w:rsid w:val="00633ABD"/>
    <w:rsid w:val="006460B4"/>
    <w:rsid w:val="006605C4"/>
    <w:rsid w:val="00663D30"/>
    <w:rsid w:val="00667AAA"/>
    <w:rsid w:val="00675344"/>
    <w:rsid w:val="00676A31"/>
    <w:rsid w:val="0068275B"/>
    <w:rsid w:val="00685060"/>
    <w:rsid w:val="00692789"/>
    <w:rsid w:val="006976BF"/>
    <w:rsid w:val="00697DBC"/>
    <w:rsid w:val="006E6B36"/>
    <w:rsid w:val="0070231B"/>
    <w:rsid w:val="00705340"/>
    <w:rsid w:val="00714DCC"/>
    <w:rsid w:val="0072412A"/>
    <w:rsid w:val="00726ED7"/>
    <w:rsid w:val="007563BC"/>
    <w:rsid w:val="007639CA"/>
    <w:rsid w:val="00770CEB"/>
    <w:rsid w:val="00781330"/>
    <w:rsid w:val="0078716D"/>
    <w:rsid w:val="007A024D"/>
    <w:rsid w:val="007B52F6"/>
    <w:rsid w:val="007C2F97"/>
    <w:rsid w:val="007C6D6F"/>
    <w:rsid w:val="007E00B1"/>
    <w:rsid w:val="00800562"/>
    <w:rsid w:val="008018F6"/>
    <w:rsid w:val="00802901"/>
    <w:rsid w:val="008047F3"/>
    <w:rsid w:val="00806AF2"/>
    <w:rsid w:val="00831B57"/>
    <w:rsid w:val="00834296"/>
    <w:rsid w:val="00840E3E"/>
    <w:rsid w:val="00840ED2"/>
    <w:rsid w:val="00841ED0"/>
    <w:rsid w:val="008427D9"/>
    <w:rsid w:val="00862B88"/>
    <w:rsid w:val="00866410"/>
    <w:rsid w:val="008740BB"/>
    <w:rsid w:val="008753F7"/>
    <w:rsid w:val="008814A6"/>
    <w:rsid w:val="008914EA"/>
    <w:rsid w:val="008A05A2"/>
    <w:rsid w:val="008B1488"/>
    <w:rsid w:val="008C5BC3"/>
    <w:rsid w:val="008D3EE9"/>
    <w:rsid w:val="008D403B"/>
    <w:rsid w:val="008E4704"/>
    <w:rsid w:val="008E6F85"/>
    <w:rsid w:val="008F28FB"/>
    <w:rsid w:val="008F3377"/>
    <w:rsid w:val="008F33E6"/>
    <w:rsid w:val="008F466D"/>
    <w:rsid w:val="009044B9"/>
    <w:rsid w:val="00924A24"/>
    <w:rsid w:val="00931367"/>
    <w:rsid w:val="009377F7"/>
    <w:rsid w:val="00954598"/>
    <w:rsid w:val="00975AED"/>
    <w:rsid w:val="009A12BF"/>
    <w:rsid w:val="009A28E2"/>
    <w:rsid w:val="009A4E88"/>
    <w:rsid w:val="009B20AC"/>
    <w:rsid w:val="009E62C1"/>
    <w:rsid w:val="009E6A7B"/>
    <w:rsid w:val="009F51A2"/>
    <w:rsid w:val="00A22B63"/>
    <w:rsid w:val="00A3062B"/>
    <w:rsid w:val="00A31C76"/>
    <w:rsid w:val="00A329BC"/>
    <w:rsid w:val="00A84DC3"/>
    <w:rsid w:val="00A873B5"/>
    <w:rsid w:val="00A90D74"/>
    <w:rsid w:val="00A922D5"/>
    <w:rsid w:val="00A954E1"/>
    <w:rsid w:val="00A958BF"/>
    <w:rsid w:val="00AA2123"/>
    <w:rsid w:val="00AA75E3"/>
    <w:rsid w:val="00AB3495"/>
    <w:rsid w:val="00AB4B50"/>
    <w:rsid w:val="00AB77BA"/>
    <w:rsid w:val="00AB7A98"/>
    <w:rsid w:val="00AC6631"/>
    <w:rsid w:val="00AD1719"/>
    <w:rsid w:val="00AD1A7B"/>
    <w:rsid w:val="00AD3E20"/>
    <w:rsid w:val="00AE22F8"/>
    <w:rsid w:val="00AE41AA"/>
    <w:rsid w:val="00AF550F"/>
    <w:rsid w:val="00AF6047"/>
    <w:rsid w:val="00B02B24"/>
    <w:rsid w:val="00B04A69"/>
    <w:rsid w:val="00B07EEB"/>
    <w:rsid w:val="00B117EB"/>
    <w:rsid w:val="00B12201"/>
    <w:rsid w:val="00B234D5"/>
    <w:rsid w:val="00B36C94"/>
    <w:rsid w:val="00B4524C"/>
    <w:rsid w:val="00B56F38"/>
    <w:rsid w:val="00B57782"/>
    <w:rsid w:val="00B7711B"/>
    <w:rsid w:val="00B825D7"/>
    <w:rsid w:val="00B86E40"/>
    <w:rsid w:val="00B91630"/>
    <w:rsid w:val="00B97C3D"/>
    <w:rsid w:val="00BC161B"/>
    <w:rsid w:val="00BC72FA"/>
    <w:rsid w:val="00BD34CE"/>
    <w:rsid w:val="00BE220C"/>
    <w:rsid w:val="00BE6882"/>
    <w:rsid w:val="00BF271C"/>
    <w:rsid w:val="00BF39A2"/>
    <w:rsid w:val="00BF5643"/>
    <w:rsid w:val="00C0065B"/>
    <w:rsid w:val="00C02C68"/>
    <w:rsid w:val="00C0681E"/>
    <w:rsid w:val="00C20656"/>
    <w:rsid w:val="00C20C18"/>
    <w:rsid w:val="00C247B7"/>
    <w:rsid w:val="00C34E99"/>
    <w:rsid w:val="00C51290"/>
    <w:rsid w:val="00C66876"/>
    <w:rsid w:val="00C70DDE"/>
    <w:rsid w:val="00C83669"/>
    <w:rsid w:val="00C9065D"/>
    <w:rsid w:val="00C922A5"/>
    <w:rsid w:val="00C9615B"/>
    <w:rsid w:val="00CA1648"/>
    <w:rsid w:val="00CB4632"/>
    <w:rsid w:val="00CB7A9E"/>
    <w:rsid w:val="00CC3C32"/>
    <w:rsid w:val="00CC68D1"/>
    <w:rsid w:val="00CF3A4C"/>
    <w:rsid w:val="00CF7DA0"/>
    <w:rsid w:val="00D02EBF"/>
    <w:rsid w:val="00D1214C"/>
    <w:rsid w:val="00D21560"/>
    <w:rsid w:val="00D2411F"/>
    <w:rsid w:val="00D561DB"/>
    <w:rsid w:val="00D71FC9"/>
    <w:rsid w:val="00D80438"/>
    <w:rsid w:val="00D91145"/>
    <w:rsid w:val="00DA0045"/>
    <w:rsid w:val="00DB515C"/>
    <w:rsid w:val="00DB705A"/>
    <w:rsid w:val="00DC1A18"/>
    <w:rsid w:val="00DC1C32"/>
    <w:rsid w:val="00DD2C80"/>
    <w:rsid w:val="00DD5048"/>
    <w:rsid w:val="00DE16EA"/>
    <w:rsid w:val="00DE1F97"/>
    <w:rsid w:val="00DE2925"/>
    <w:rsid w:val="00DE431B"/>
    <w:rsid w:val="00DF69F4"/>
    <w:rsid w:val="00E05C51"/>
    <w:rsid w:val="00E05C76"/>
    <w:rsid w:val="00E0793C"/>
    <w:rsid w:val="00E102A4"/>
    <w:rsid w:val="00E224C8"/>
    <w:rsid w:val="00E40187"/>
    <w:rsid w:val="00E63B18"/>
    <w:rsid w:val="00E73254"/>
    <w:rsid w:val="00EA6152"/>
    <w:rsid w:val="00EB747C"/>
    <w:rsid w:val="00EC7508"/>
    <w:rsid w:val="00EE661F"/>
    <w:rsid w:val="00EE7C05"/>
    <w:rsid w:val="00EF7A05"/>
    <w:rsid w:val="00F072F0"/>
    <w:rsid w:val="00F07BB4"/>
    <w:rsid w:val="00F150B0"/>
    <w:rsid w:val="00F335E8"/>
    <w:rsid w:val="00F502B6"/>
    <w:rsid w:val="00F64EB9"/>
    <w:rsid w:val="00F75826"/>
    <w:rsid w:val="00F77CA3"/>
    <w:rsid w:val="00F87361"/>
    <w:rsid w:val="00F9112E"/>
    <w:rsid w:val="00FB28E5"/>
    <w:rsid w:val="00FB4670"/>
    <w:rsid w:val="00FB7C8D"/>
    <w:rsid w:val="00FC02D6"/>
    <w:rsid w:val="00FC1653"/>
    <w:rsid w:val="00FC50F7"/>
    <w:rsid w:val="00FD5455"/>
    <w:rsid w:val="00FD5B19"/>
    <w:rsid w:val="00FE4A99"/>
    <w:rsid w:val="00FE5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8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F68D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F68D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8D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68D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0F68D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F68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F68DF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0F68DF"/>
    <w:rPr>
      <w:vertAlign w:val="superscript"/>
    </w:rPr>
  </w:style>
  <w:style w:type="character" w:customStyle="1" w:styleId="11">
    <w:name w:val="Основной текст1"/>
    <w:basedOn w:val="a0"/>
    <w:link w:val="21"/>
    <w:rsid w:val="000F68DF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11"/>
    <w:rsid w:val="000F68DF"/>
    <w:pPr>
      <w:shd w:val="clear" w:color="auto" w:fill="FFFFFF"/>
      <w:spacing w:line="355" w:lineRule="exact"/>
      <w:ind w:firstLine="720"/>
      <w:jc w:val="both"/>
    </w:pPr>
    <w:rPr>
      <w:rFonts w:ascii="Calibri" w:eastAsia="Calibri" w:hAnsi="Calibri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C00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0020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5F3F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F3FD5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5F3F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3FD5"/>
    <w:rPr>
      <w:rFonts w:ascii="Times New Roman" w:eastAsia="Times New Roman" w:hAnsi="Times New Roman"/>
      <w:sz w:val="24"/>
      <w:szCs w:val="24"/>
    </w:rPr>
  </w:style>
  <w:style w:type="paragraph" w:styleId="ad">
    <w:name w:val="Normal (Web)"/>
    <w:basedOn w:val="a"/>
    <w:semiHidden/>
    <w:rsid w:val="00591B8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9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932D9-5C81-4210-B481-444694303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1305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8731</CharactersWithSpaces>
  <SharedDoc>false</SharedDoc>
  <HLinks>
    <vt:vector size="18" baseType="variant">
      <vt:variant>
        <vt:i4>3014758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consultantplus://offline/main?base=ROS;n=112212;fld=134;dst=100020</vt:lpwstr>
      </vt:variant>
      <vt:variant>
        <vt:lpwstr/>
      </vt:variant>
      <vt:variant>
        <vt:i4>2687077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consultantplus://offline/main?base=ROS;n=112212;fld=134;dst=100017</vt:lpwstr>
      </vt:variant>
      <vt:variant>
        <vt:lpwstr/>
      </vt:variant>
      <vt:variant>
        <vt:i4>2818150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consultantplus://offline/main?base=ROS;n=111908;fld=134;dst=101225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v.luksha</dc:creator>
  <cp:lastModifiedBy>a.galishnikov</cp:lastModifiedBy>
  <cp:revision>8</cp:revision>
  <cp:lastPrinted>2011-04-18T10:50:00Z</cp:lastPrinted>
  <dcterms:created xsi:type="dcterms:W3CDTF">2011-04-19T11:41:00Z</dcterms:created>
  <dcterms:modified xsi:type="dcterms:W3CDTF">2011-08-23T14:39:00Z</dcterms:modified>
</cp:coreProperties>
</file>