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B6668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2413F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61071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7A260A" w:rsidRPr="00EA4CD9" w:rsidRDefault="007A260A" w:rsidP="007A260A">
      <w:pPr>
        <w:ind w:left="62"/>
        <w:jc w:val="center"/>
        <w:rPr>
          <w:b/>
          <w:sz w:val="26"/>
          <w:szCs w:val="26"/>
        </w:rPr>
      </w:pPr>
      <w:r w:rsidRPr="00EA4CD9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A87A20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664F61">
        <w:rPr>
          <w:b/>
          <w:bCs/>
          <w:sz w:val="26"/>
          <w:szCs w:val="26"/>
        </w:rPr>
        <w:t>:</w:t>
      </w:r>
    </w:p>
    <w:p w:rsidR="00664F61" w:rsidRPr="00664F61" w:rsidRDefault="00664F61" w:rsidP="00664F61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664F61">
        <w:rPr>
          <w:b/>
          <w:bCs/>
          <w:sz w:val="26"/>
          <w:szCs w:val="26"/>
        </w:rPr>
        <w:t>33.1. Промышленное строительство</w:t>
      </w:r>
    </w:p>
    <w:p w:rsidR="00B41216" w:rsidRPr="00FA7EC2" w:rsidRDefault="00F924D6" w:rsidP="00664F61">
      <w:pPr>
        <w:pStyle w:val="ad"/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="00FA7EC2">
        <w:rPr>
          <w:b/>
          <w:sz w:val="26"/>
          <w:szCs w:val="26"/>
        </w:rPr>
        <w:t>.</w:t>
      </w:r>
      <w:r w:rsidR="006A2C70">
        <w:rPr>
          <w:b/>
          <w:sz w:val="26"/>
          <w:szCs w:val="26"/>
        </w:rPr>
        <w:t>1</w:t>
      </w:r>
      <w:r w:rsidR="00264D4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264D44" w:rsidRPr="006108ED">
        <w:rPr>
          <w:b/>
          <w:sz w:val="26"/>
          <w:szCs w:val="26"/>
        </w:rPr>
        <w:t>Объекты электроснабжения свыше 110 кВ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1B6668" w:rsidRDefault="001B6668" w:rsidP="00664F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7A260A" w:rsidRPr="00C713D6" w:rsidRDefault="007A260A" w:rsidP="007A260A">
      <w:pPr>
        <w:pStyle w:val="2"/>
        <w:pageBreakBefore/>
        <w:tabs>
          <w:tab w:val="left" w:pos="3299"/>
          <w:tab w:val="left" w:pos="3416"/>
          <w:tab w:val="center" w:pos="4677"/>
          <w:tab w:val="left" w:pos="6262"/>
          <w:tab w:val="left" w:pos="6313"/>
          <w:tab w:val="left" w:pos="6698"/>
        </w:tabs>
        <w:spacing w:before="0" w:after="0"/>
        <w:rPr>
          <w:rFonts w:ascii="Times New Roman" w:hAnsi="Times New Roman"/>
          <w:i w:val="0"/>
          <w:sz w:val="26"/>
          <w:szCs w:val="26"/>
        </w:rPr>
      </w:pPr>
      <w:r w:rsidRPr="00C713D6">
        <w:rPr>
          <w:rFonts w:ascii="Times New Roman" w:hAnsi="Times New Roman"/>
          <w:i w:val="0"/>
          <w:sz w:val="26"/>
          <w:szCs w:val="26"/>
        </w:rPr>
        <w:lastRenderedPageBreak/>
        <w:tab/>
      </w:r>
      <w:r w:rsidRPr="00C713D6">
        <w:rPr>
          <w:rFonts w:ascii="Times New Roman" w:hAnsi="Times New Roman"/>
          <w:i w:val="0"/>
          <w:sz w:val="26"/>
          <w:szCs w:val="26"/>
        </w:rPr>
        <w:tab/>
        <w:t>1. Сфера применения</w:t>
      </w:r>
    </w:p>
    <w:p w:rsidR="007A260A" w:rsidRPr="00C713D6" w:rsidRDefault="007A260A" w:rsidP="007A260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C713D6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C713D6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C713D6">
        <w:rPr>
          <w:sz w:val="26"/>
          <w:szCs w:val="26"/>
        </w:rPr>
        <w:t>»</w:t>
      </w:r>
      <w:r w:rsidRPr="00C713D6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7A260A" w:rsidRPr="00C713D6" w:rsidRDefault="007A260A" w:rsidP="007A260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C713D6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7A260A" w:rsidRPr="00C713D6" w:rsidRDefault="007A260A" w:rsidP="007A260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C713D6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7A260A" w:rsidRPr="00C713D6" w:rsidRDefault="007A260A" w:rsidP="007A260A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C713D6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7A260A" w:rsidRPr="00C713D6" w:rsidRDefault="007A260A" w:rsidP="007A260A">
      <w:pPr>
        <w:ind w:firstLine="708"/>
        <w:rPr>
          <w:sz w:val="26"/>
          <w:szCs w:val="26"/>
        </w:rPr>
      </w:pPr>
    </w:p>
    <w:p w:rsidR="007A260A" w:rsidRPr="00C713D6" w:rsidRDefault="007A260A" w:rsidP="007A260A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2.1 наличие в штате по основному месту работы следующего количества работников в зависимости от суммы договора: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не более 10 млн. рублей - не менее 2 руководителей, имеющих высшее профессиональное образование соответствующего профиля и стаж работы в области строительства не менее 7 лет, и не менее 7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не более 60 млн. рублей - не менее 2 руководителей, имеющих высшее профессиональное образование соответствующего профиля и стаж работы в области строительства не менее 7 лет, и не менее 11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не более 500 млн. рублей - не менее 3 руководителей, имеющих высшее профессиональное образование соответствующего профиля и стаж работы в области строительства не менее 7 лет, и не менее 18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 xml:space="preserve">не более 3 млрд. рублей - не менее 4 руководителей, имеющих высшее профессиональное образование соответствующего профиля и стаж работы в области строительства не менее 7 лет, и не менее 25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</w:t>
      </w:r>
      <w:r w:rsidRPr="00C713D6">
        <w:rPr>
          <w:sz w:val="26"/>
          <w:szCs w:val="26"/>
        </w:rPr>
        <w:lastRenderedPageBreak/>
        <w:t>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не более 10 млрд. рублей - не менее 5 руководителей, имеющих высшее профессиональное образование соответствующего профиля и стаж работы в области строительства не менее 7 лет, и не менее 30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10 млрд. рублей и более - не менее 5 руководителей, имеющих высшее профессиональное образование соответствующего профиля и стаж работы в области строительства не менее 7 лет, и не менее 35 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 лет, при этом не менее 60 процентов специалистов должны иметь высшее профессиональное образование;</w:t>
      </w:r>
    </w:p>
    <w:p w:rsidR="007A260A" w:rsidRPr="00C713D6" w:rsidRDefault="007A260A" w:rsidP="007A260A">
      <w:pPr>
        <w:pStyle w:val="Style2"/>
        <w:ind w:firstLine="70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2.2 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7A260A" w:rsidRPr="00C713D6" w:rsidRDefault="007A260A" w:rsidP="007A26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13D6">
        <w:rPr>
          <w:rFonts w:ascii="Times New Roman" w:hAnsi="Times New Roman" w:cs="Times New Roman"/>
          <w:sz w:val="26"/>
          <w:szCs w:val="26"/>
        </w:rPr>
        <w:tab/>
      </w:r>
      <w:r w:rsidRPr="00C713D6">
        <w:rPr>
          <w:rFonts w:ascii="Times New Roman" w:hAnsi="Times New Roman" w:cs="Times New Roman"/>
          <w:b/>
          <w:sz w:val="26"/>
          <w:szCs w:val="26"/>
        </w:rPr>
        <w:t>Сведения в отношении инженерно-технических работников предоставляются в полном объеме на всех без исключения профильных специалистов,  задействованных при производстве заявленных работ. В случае изменений, происходящих в квалификационном составе инженерно-технических работников, в Партнерство должны быть представлены в установленном порядке сведения о новых сотрудниках и  информация об уволенных.</w:t>
      </w:r>
    </w:p>
    <w:p w:rsidR="007A260A" w:rsidRPr="00C713D6" w:rsidRDefault="007A260A" w:rsidP="007A260A">
      <w:pPr>
        <w:pStyle w:val="Style2"/>
        <w:widowControl/>
        <w:ind w:right="-3" w:firstLine="708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Требования,  предъявляемые  к  должностям  руководителей  и  работников  должны  соответствовать  требованиям  «Единого квалификационного справочника должностей руководителей, специалистов и служащих».</w:t>
      </w:r>
    </w:p>
    <w:p w:rsidR="007A260A" w:rsidRPr="00C713D6" w:rsidRDefault="007A260A" w:rsidP="007A260A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C713D6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7A260A" w:rsidRPr="00C713D6" w:rsidRDefault="007A260A" w:rsidP="007A260A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</w:p>
    <w:p w:rsidR="007A260A" w:rsidRPr="00C713D6" w:rsidRDefault="007A260A" w:rsidP="007A260A">
      <w:pPr>
        <w:tabs>
          <w:tab w:val="left" w:pos="1134"/>
        </w:tabs>
        <w:ind w:firstLine="709"/>
        <w:rPr>
          <w:sz w:val="26"/>
          <w:szCs w:val="26"/>
        </w:rPr>
      </w:pPr>
    </w:p>
    <w:p w:rsidR="007A260A" w:rsidRPr="00C713D6" w:rsidRDefault="007A260A" w:rsidP="007A260A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C713D6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подпункте «а» пункта 1,  по формуле:</w:t>
      </w:r>
    </w:p>
    <w:p w:rsidR="007A260A" w:rsidRPr="00C713D6" w:rsidRDefault="007A260A" w:rsidP="007A260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7A260A" w:rsidRPr="00C713D6" w:rsidRDefault="007A260A" w:rsidP="007A260A">
      <w:pPr>
        <w:ind w:left="3720"/>
        <w:rPr>
          <w:sz w:val="26"/>
          <w:szCs w:val="26"/>
        </w:rPr>
      </w:pPr>
      <w:r w:rsidRPr="00C713D6">
        <w:rPr>
          <w:sz w:val="26"/>
          <w:szCs w:val="26"/>
          <w:lang w:val="en-US"/>
        </w:rPr>
        <w:t>N</w:t>
      </w:r>
      <w:r w:rsidRPr="00C713D6">
        <w:rPr>
          <w:sz w:val="26"/>
          <w:szCs w:val="26"/>
        </w:rPr>
        <w:t>=</w:t>
      </w:r>
      <w:r w:rsidRPr="00C713D6">
        <w:rPr>
          <w:sz w:val="26"/>
          <w:szCs w:val="26"/>
          <w:lang w:val="en-US"/>
        </w:rPr>
        <w:t>n</w:t>
      </w:r>
      <w:r w:rsidRPr="00C713D6">
        <w:rPr>
          <w:sz w:val="26"/>
          <w:szCs w:val="26"/>
        </w:rPr>
        <w:t>+</w:t>
      </w:r>
      <w:r w:rsidRPr="00C713D6">
        <w:rPr>
          <w:sz w:val="26"/>
          <w:szCs w:val="26"/>
          <w:lang w:val="en-US"/>
        </w:rPr>
        <w:t>k</w:t>
      </w:r>
      <w:r w:rsidRPr="00C713D6">
        <w:rPr>
          <w:sz w:val="26"/>
          <w:szCs w:val="26"/>
        </w:rPr>
        <w:t xml:space="preserve"> (х</w:t>
      </w:r>
      <w:r w:rsidRPr="00C713D6">
        <w:rPr>
          <w:sz w:val="26"/>
          <w:szCs w:val="26"/>
          <w:lang w:val="en-US"/>
        </w:rPr>
        <w:t>n</w:t>
      </w:r>
      <w:r w:rsidRPr="00C713D6">
        <w:rPr>
          <w:sz w:val="26"/>
          <w:szCs w:val="26"/>
        </w:rPr>
        <w:t xml:space="preserve">), </w:t>
      </w:r>
    </w:p>
    <w:p w:rsidR="007A260A" w:rsidRPr="00C713D6" w:rsidRDefault="007A260A" w:rsidP="007A260A">
      <w:pPr>
        <w:rPr>
          <w:sz w:val="26"/>
          <w:szCs w:val="26"/>
        </w:rPr>
      </w:pPr>
      <w:r w:rsidRPr="00C713D6">
        <w:rPr>
          <w:sz w:val="26"/>
          <w:szCs w:val="26"/>
        </w:rPr>
        <w:t>где:</w:t>
      </w:r>
    </w:p>
    <w:p w:rsidR="007A260A" w:rsidRPr="00C713D6" w:rsidRDefault="007A260A" w:rsidP="007A260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7A260A" w:rsidRPr="00C713D6" w:rsidRDefault="007A260A" w:rsidP="007A260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C713D6">
        <w:rPr>
          <w:rStyle w:val="Constantia"/>
          <w:rFonts w:ascii="Times New Roman" w:hAnsi="Times New Roman" w:cs="Times New Roman"/>
          <w:sz w:val="26"/>
          <w:szCs w:val="26"/>
          <w:lang w:val="en-US"/>
        </w:rPr>
        <w:t>n</w:t>
      </w:r>
      <w:r w:rsidRPr="00C713D6">
        <w:rPr>
          <w:rStyle w:val="Constantia"/>
          <w:rFonts w:ascii="Times New Roman" w:hAnsi="Times New Roman" w:cs="Times New Roman"/>
          <w:sz w:val="26"/>
          <w:szCs w:val="26"/>
        </w:rPr>
        <w:t xml:space="preserve"> </w:t>
      </w:r>
      <w:r w:rsidRPr="00C713D6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7A260A" w:rsidRPr="00C713D6" w:rsidRDefault="007A260A" w:rsidP="007A260A">
      <w:pPr>
        <w:ind w:right="-3" w:firstLine="708"/>
        <w:rPr>
          <w:sz w:val="26"/>
          <w:szCs w:val="26"/>
        </w:rPr>
      </w:pPr>
      <w:r w:rsidRPr="00C713D6">
        <w:rPr>
          <w:sz w:val="26"/>
          <w:szCs w:val="26"/>
          <w:lang w:val="en-US"/>
        </w:rPr>
        <w:lastRenderedPageBreak/>
        <w:t>k</w:t>
      </w:r>
      <w:r w:rsidRPr="00C713D6">
        <w:rPr>
          <w:sz w:val="26"/>
          <w:szCs w:val="26"/>
        </w:rPr>
        <w:t xml:space="preserve"> не менее 0,3 - для руководителей и специалистов;</w:t>
      </w:r>
    </w:p>
    <w:p w:rsidR="007A260A" w:rsidRPr="00C713D6" w:rsidRDefault="007A260A" w:rsidP="007A260A">
      <w:pPr>
        <w:ind w:right="-3" w:firstLine="708"/>
        <w:rPr>
          <w:sz w:val="26"/>
          <w:szCs w:val="26"/>
        </w:rPr>
      </w:pPr>
      <w:r w:rsidRPr="00C713D6">
        <w:rPr>
          <w:sz w:val="26"/>
          <w:szCs w:val="26"/>
        </w:rPr>
        <w:t>х - количество видов работ, на выполнение которых испрашивается допуск.</w:t>
      </w:r>
    </w:p>
    <w:p w:rsidR="007A260A" w:rsidRPr="00C713D6" w:rsidRDefault="007A260A" w:rsidP="007A260A">
      <w:pPr>
        <w:ind w:right="-3" w:firstLine="708"/>
        <w:rPr>
          <w:sz w:val="26"/>
          <w:szCs w:val="26"/>
        </w:rPr>
      </w:pPr>
    </w:p>
    <w:p w:rsidR="007A260A" w:rsidRPr="00C713D6" w:rsidRDefault="007A260A" w:rsidP="007A260A">
      <w:pPr>
        <w:ind w:right="-3" w:firstLine="709"/>
        <w:jc w:val="both"/>
        <w:rPr>
          <w:b/>
          <w:bCs/>
          <w:sz w:val="26"/>
          <w:szCs w:val="26"/>
        </w:rPr>
      </w:pPr>
      <w:r w:rsidRPr="00C713D6">
        <w:rPr>
          <w:b/>
          <w:sz w:val="26"/>
          <w:szCs w:val="26"/>
        </w:rPr>
        <w:t xml:space="preserve">4. Требование к повышению квалификации </w:t>
      </w:r>
      <w:r w:rsidRPr="00C713D6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7A260A" w:rsidRPr="00C713D6" w:rsidRDefault="007A260A" w:rsidP="007A260A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7A260A" w:rsidRPr="00C713D6" w:rsidRDefault="007A260A" w:rsidP="007A260A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7A260A" w:rsidRPr="00C713D6" w:rsidRDefault="007A260A" w:rsidP="007A260A">
      <w:pPr>
        <w:ind w:firstLine="708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7A260A" w:rsidRPr="00C713D6" w:rsidRDefault="007A260A" w:rsidP="007A260A">
      <w:pPr>
        <w:ind w:left="426" w:hanging="426"/>
        <w:jc w:val="both"/>
        <w:rPr>
          <w:sz w:val="26"/>
          <w:szCs w:val="26"/>
        </w:rPr>
      </w:pPr>
      <w:r w:rsidRPr="00C713D6">
        <w:rPr>
          <w:sz w:val="26"/>
          <w:szCs w:val="26"/>
        </w:rPr>
        <w:t xml:space="preserve">               - руководители и его заместители;</w:t>
      </w:r>
    </w:p>
    <w:p w:rsidR="007A260A" w:rsidRPr="00C713D6" w:rsidRDefault="007A260A" w:rsidP="007A260A">
      <w:pPr>
        <w:ind w:left="426" w:hanging="426"/>
        <w:jc w:val="both"/>
        <w:rPr>
          <w:sz w:val="26"/>
          <w:szCs w:val="26"/>
        </w:rPr>
      </w:pPr>
      <w:r w:rsidRPr="00C713D6">
        <w:rPr>
          <w:sz w:val="26"/>
          <w:szCs w:val="26"/>
        </w:rPr>
        <w:t xml:space="preserve">               - главный инженер и его заместители;</w:t>
      </w:r>
    </w:p>
    <w:p w:rsidR="007A260A" w:rsidRPr="00C713D6" w:rsidRDefault="007A260A" w:rsidP="007A260A">
      <w:pPr>
        <w:ind w:left="1134" w:hanging="1134"/>
        <w:jc w:val="both"/>
        <w:rPr>
          <w:sz w:val="26"/>
          <w:szCs w:val="26"/>
        </w:rPr>
      </w:pPr>
      <w:r w:rsidRPr="00C713D6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7A260A" w:rsidRPr="00C713D6" w:rsidRDefault="007A260A" w:rsidP="007A260A">
      <w:pPr>
        <w:ind w:left="1134" w:hanging="1134"/>
        <w:jc w:val="both"/>
        <w:rPr>
          <w:sz w:val="26"/>
          <w:szCs w:val="26"/>
        </w:rPr>
      </w:pPr>
      <w:r w:rsidRPr="00C713D6">
        <w:rPr>
          <w:sz w:val="26"/>
          <w:szCs w:val="26"/>
        </w:rPr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7A260A" w:rsidRPr="00C713D6" w:rsidRDefault="007A260A" w:rsidP="007A260A">
      <w:pPr>
        <w:ind w:firstLine="540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7A260A" w:rsidRPr="00C713D6" w:rsidRDefault="007A260A" w:rsidP="007A260A">
      <w:pPr>
        <w:ind w:firstLine="53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7A260A" w:rsidRPr="00C713D6" w:rsidRDefault="007A260A" w:rsidP="007A260A">
      <w:pPr>
        <w:ind w:firstLine="53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7A260A" w:rsidRPr="00C713D6" w:rsidRDefault="007A260A" w:rsidP="007A260A">
      <w:pPr>
        <w:ind w:firstLine="53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7A260A" w:rsidRPr="00C713D6" w:rsidRDefault="007A260A" w:rsidP="007A260A">
      <w:pPr>
        <w:ind w:firstLine="53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7A260A" w:rsidRPr="00C713D6" w:rsidRDefault="007A260A" w:rsidP="007A260A">
      <w:pPr>
        <w:ind w:firstLine="539"/>
        <w:jc w:val="both"/>
        <w:rPr>
          <w:sz w:val="26"/>
          <w:szCs w:val="26"/>
        </w:rPr>
      </w:pPr>
      <w:r w:rsidRPr="00C713D6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7A260A" w:rsidRPr="00C713D6" w:rsidRDefault="007A260A" w:rsidP="007A260A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7A260A" w:rsidRPr="00C713D6" w:rsidRDefault="007A260A" w:rsidP="007A260A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13D6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5. Требование о наличии имущества: </w:t>
      </w:r>
    </w:p>
    <w:p w:rsidR="007A260A" w:rsidRPr="00C713D6" w:rsidRDefault="007A260A" w:rsidP="007A260A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C713D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713D6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C713D6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C713D6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C713D6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7A260A" w:rsidRPr="00C713D6" w:rsidRDefault="007A260A" w:rsidP="007A260A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</w:p>
    <w:p w:rsidR="007A260A" w:rsidRPr="00C713D6" w:rsidRDefault="007A260A" w:rsidP="007A260A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C713D6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7A260A" w:rsidRPr="00C713D6" w:rsidRDefault="007A260A" w:rsidP="007A260A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C713D6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7A260A" w:rsidRPr="00C713D6" w:rsidRDefault="007A260A" w:rsidP="007A260A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</w:p>
    <w:p w:rsidR="007A260A" w:rsidRPr="00C713D6" w:rsidRDefault="007A260A" w:rsidP="007A260A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b/>
          <w:sz w:val="26"/>
          <w:szCs w:val="26"/>
        </w:rPr>
      </w:pPr>
      <w:r w:rsidRPr="00C713D6">
        <w:rPr>
          <w:rFonts w:ascii="Times New Roman" w:hAnsi="Times New Roman"/>
          <w:b/>
          <w:sz w:val="26"/>
          <w:szCs w:val="26"/>
        </w:rPr>
        <w:t>7. Наличие системы менеджмента качества, которой национальным или международным органом по сертификации выдан сертификат соответствия.</w:t>
      </w:r>
    </w:p>
    <w:sectPr w:rsidR="007A260A" w:rsidRPr="00C713D6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8AE" w:rsidRDefault="009938AE" w:rsidP="000F68DF">
      <w:r>
        <w:separator/>
      </w:r>
    </w:p>
  </w:endnote>
  <w:endnote w:type="continuationSeparator" w:id="1">
    <w:p w:rsidR="009938AE" w:rsidRDefault="009938A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A64EDB">
    <w:pPr>
      <w:pStyle w:val="ab"/>
      <w:jc w:val="center"/>
    </w:pPr>
    <w:fldSimple w:instr=" PAGE   \* MERGEFORMAT ">
      <w:r w:rsidR="007A260A">
        <w:rPr>
          <w:noProof/>
        </w:rPr>
        <w:t>5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8AE" w:rsidRDefault="009938AE" w:rsidP="000F68DF">
      <w:r>
        <w:separator/>
      </w:r>
    </w:p>
  </w:footnote>
  <w:footnote w:type="continuationSeparator" w:id="1">
    <w:p w:rsidR="009938AE" w:rsidRDefault="009938A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319A"/>
    <w:rsid w:val="00145D6B"/>
    <w:rsid w:val="001559A7"/>
    <w:rsid w:val="00162388"/>
    <w:rsid w:val="001741E1"/>
    <w:rsid w:val="00193AA6"/>
    <w:rsid w:val="001949FE"/>
    <w:rsid w:val="00196BFA"/>
    <w:rsid w:val="001A5EE3"/>
    <w:rsid w:val="001B3C59"/>
    <w:rsid w:val="001B6668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13F4"/>
    <w:rsid w:val="0024234A"/>
    <w:rsid w:val="0024298D"/>
    <w:rsid w:val="00245153"/>
    <w:rsid w:val="00250905"/>
    <w:rsid w:val="00263FB0"/>
    <w:rsid w:val="00264D44"/>
    <w:rsid w:val="00276ED4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C4EFC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3661E"/>
    <w:rsid w:val="00544D0D"/>
    <w:rsid w:val="0055219D"/>
    <w:rsid w:val="00554968"/>
    <w:rsid w:val="005602BC"/>
    <w:rsid w:val="005907D3"/>
    <w:rsid w:val="0059144D"/>
    <w:rsid w:val="00591B85"/>
    <w:rsid w:val="0059300A"/>
    <w:rsid w:val="005A2869"/>
    <w:rsid w:val="005A7C9A"/>
    <w:rsid w:val="005D3C1C"/>
    <w:rsid w:val="005D5983"/>
    <w:rsid w:val="005D6325"/>
    <w:rsid w:val="005F117C"/>
    <w:rsid w:val="005F1838"/>
    <w:rsid w:val="005F3FD5"/>
    <w:rsid w:val="00604960"/>
    <w:rsid w:val="0061071C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4F61"/>
    <w:rsid w:val="00667AAA"/>
    <w:rsid w:val="00676A31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70CEB"/>
    <w:rsid w:val="007767E9"/>
    <w:rsid w:val="00781330"/>
    <w:rsid w:val="00783DF2"/>
    <w:rsid w:val="0078716D"/>
    <w:rsid w:val="007A024D"/>
    <w:rsid w:val="007A260A"/>
    <w:rsid w:val="007B52F6"/>
    <w:rsid w:val="007C2F97"/>
    <w:rsid w:val="007C3649"/>
    <w:rsid w:val="007C6D6F"/>
    <w:rsid w:val="007D2E8A"/>
    <w:rsid w:val="007D6698"/>
    <w:rsid w:val="007E00B1"/>
    <w:rsid w:val="007E50EF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437D1"/>
    <w:rsid w:val="00846A2B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11CC"/>
    <w:rsid w:val="00975AED"/>
    <w:rsid w:val="00977951"/>
    <w:rsid w:val="009938AE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9F7D13"/>
    <w:rsid w:val="00A22B63"/>
    <w:rsid w:val="00A3062B"/>
    <w:rsid w:val="00A31C76"/>
    <w:rsid w:val="00A35AE0"/>
    <w:rsid w:val="00A64EDB"/>
    <w:rsid w:val="00A71177"/>
    <w:rsid w:val="00A86402"/>
    <w:rsid w:val="00A873B5"/>
    <w:rsid w:val="00A87A20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1284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93478"/>
    <w:rsid w:val="00EA3266"/>
    <w:rsid w:val="00EA6152"/>
    <w:rsid w:val="00EB747C"/>
    <w:rsid w:val="00ED315F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2413F4"/>
    <w:rPr>
      <w:color w:val="0000FF" w:themeColor="hyperlink"/>
      <w:u w:val="single"/>
    </w:rPr>
  </w:style>
  <w:style w:type="character" w:customStyle="1" w:styleId="Constantia">
    <w:name w:val="Основной текст + Constantia"/>
    <w:basedOn w:val="11"/>
    <w:rsid w:val="007A260A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7A260A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7A260A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7A26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B284-9750-467B-9625-43F0CE78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2011-08-25T07:47:00Z</cp:lastPrinted>
  <dcterms:created xsi:type="dcterms:W3CDTF">2011-04-20T12:02:00Z</dcterms:created>
  <dcterms:modified xsi:type="dcterms:W3CDTF">2011-09-06T14:05:00Z</dcterms:modified>
</cp:coreProperties>
</file>